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48AA" w14:textId="607C3870" w:rsidR="00D826DD" w:rsidRPr="00D826DD" w:rsidRDefault="00D826DD" w:rsidP="00D826DD">
      <w:pPr>
        <w:spacing w:before="240" w:after="120"/>
        <w:jc w:val="center"/>
        <w:outlineLvl w:val="1"/>
        <w:rPr>
          <w:rFonts w:ascii="PT Sans" w:eastAsia="Times New Roman" w:hAnsi="PT Sans" w:cs="Times New Roman"/>
          <w:sz w:val="33"/>
          <w:szCs w:val="33"/>
          <w:lang w:eastAsia="ru-RU"/>
        </w:rPr>
      </w:pPr>
      <w:r w:rsidRPr="00D826DD">
        <w:rPr>
          <w:rFonts w:ascii="PT Sans" w:eastAsia="Times New Roman" w:hAnsi="PT Sans" w:cs="Times New Roman"/>
          <w:noProof/>
          <w:sz w:val="33"/>
          <w:szCs w:val="33"/>
          <w:lang w:eastAsia="ru-RU"/>
        </w:rPr>
        <mc:AlternateContent>
          <mc:Choice Requires="wps">
            <w:drawing>
              <wp:inline distT="0" distB="0" distL="0" distR="0" wp14:anchorId="1B952E2F" wp14:editId="65754F9D">
                <wp:extent cx="304800" cy="304800"/>
                <wp:effectExtent l="0" t="0" r="0" b="0"/>
                <wp:docPr id="813245056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9D91A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826DD">
        <w:rPr>
          <w:rFonts w:ascii="PT Sans" w:eastAsia="Times New Roman" w:hAnsi="PT Sans" w:cs="Times New Roman"/>
          <w:sz w:val="33"/>
          <w:szCs w:val="33"/>
          <w:lang w:eastAsia="ru-RU"/>
        </w:rPr>
        <w:t>Постановление</w:t>
      </w:r>
    </w:p>
    <w:p w14:paraId="7A51A88D" w14:textId="77777777" w:rsidR="00D826DD" w:rsidRPr="00D826DD" w:rsidRDefault="00D826DD" w:rsidP="00D826DD">
      <w:pPr>
        <w:spacing w:after="225"/>
        <w:rPr>
          <w:rFonts w:ascii="Tahoma" w:eastAsia="Times New Roman" w:hAnsi="Tahoma" w:cs="Tahoma"/>
          <w:sz w:val="18"/>
          <w:szCs w:val="18"/>
          <w:lang w:eastAsia="ru-RU"/>
        </w:rPr>
      </w:pPr>
      <w:r w:rsidRPr="00D826DD">
        <w:rPr>
          <w:rFonts w:ascii="Tahoma" w:eastAsia="Times New Roman" w:hAnsi="Tahoma" w:cs="Tahoma"/>
          <w:sz w:val="18"/>
          <w:szCs w:val="18"/>
          <w:lang w:eastAsia="ru-RU"/>
        </w:rPr>
        <w:t>О вопросах Открытой акционерной холдинговой компании "Барки Точик"</w:t>
      </w:r>
    </w:p>
    <w:p w14:paraId="29BC20BC" w14:textId="77777777" w:rsidR="00D826DD" w:rsidRPr="00D826DD" w:rsidRDefault="00D826DD" w:rsidP="00D826DD">
      <w:pPr>
        <w:spacing w:after="225"/>
        <w:rPr>
          <w:rFonts w:ascii="Tahoma" w:eastAsia="Times New Roman" w:hAnsi="Tahoma" w:cs="Tahoma"/>
          <w:sz w:val="18"/>
          <w:szCs w:val="18"/>
          <w:lang w:eastAsia="ru-RU"/>
        </w:rPr>
      </w:pPr>
      <w:r w:rsidRPr="00D826DD">
        <w:rPr>
          <w:rFonts w:ascii="Tahoma" w:eastAsia="Times New Roman" w:hAnsi="Tahoma" w:cs="Tahoma"/>
          <w:sz w:val="18"/>
          <w:szCs w:val="18"/>
          <w:lang w:eastAsia="ru-RU"/>
        </w:rPr>
        <w:t>В соответствии со </w:t>
      </w:r>
      <w:hyperlink r:id="rId4" w:anchor="A000000058" w:tooltip="Ссылка на Гражданский кодекс РТ (ч. I) :: Статья 53. Учредительные документы юридического лица" w:history="1">
        <w:r w:rsidRPr="00D826DD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статьями 53</w:t>
        </w:r>
      </w:hyperlink>
      <w:r w:rsidRPr="00D826DD">
        <w:rPr>
          <w:rFonts w:ascii="Tahoma" w:eastAsia="Times New Roman" w:hAnsi="Tahoma" w:cs="Tahoma"/>
          <w:sz w:val="18"/>
          <w:szCs w:val="18"/>
          <w:lang w:eastAsia="ru-RU"/>
        </w:rPr>
        <w:t> и </w:t>
      </w:r>
      <w:hyperlink r:id="rId5" w:anchor="A000000060" w:tooltip="Ссылка на Гражданский кодекс РТ (ч. I) :: Статья 55. Наименование и место нахождения юридического лица" w:history="1">
        <w:r w:rsidRPr="00D826DD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55</w:t>
        </w:r>
      </w:hyperlink>
      <w:r w:rsidRPr="00D826DD">
        <w:rPr>
          <w:rFonts w:ascii="Tahoma" w:eastAsia="Times New Roman" w:hAnsi="Tahoma" w:cs="Tahoma"/>
          <w:sz w:val="18"/>
          <w:szCs w:val="18"/>
          <w:lang w:eastAsia="ru-RU"/>
        </w:rPr>
        <w:t> Гражданского кодекса Республики Таджикистан, </w:t>
      </w:r>
      <w:hyperlink r:id="rId6" w:anchor="A000000072" w:tooltip="Ссылка на Закон РТ Об акционерных обществах :: Статья 63. Совет директоров (Наблюдательный совет) акционерного общества" w:history="1">
        <w:r w:rsidRPr="00D826DD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статьями 63</w:t>
        </w:r>
      </w:hyperlink>
      <w:r w:rsidRPr="00D826DD">
        <w:rPr>
          <w:rFonts w:ascii="Tahoma" w:eastAsia="Times New Roman" w:hAnsi="Tahoma" w:cs="Tahoma"/>
          <w:sz w:val="18"/>
          <w:szCs w:val="18"/>
          <w:lang w:eastAsia="ru-RU"/>
        </w:rPr>
        <w:t> и </w:t>
      </w:r>
      <w:hyperlink r:id="rId7" w:anchor="A000000073" w:tooltip="Ссылка на Закон РТ Об акционерных обществах :: Статья 64. Избрание Совета директоров (Наблюдательного совета) акционерного общества" w:history="1">
        <w:r w:rsidRPr="00D826DD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64</w:t>
        </w:r>
      </w:hyperlink>
      <w:r w:rsidRPr="00D826DD">
        <w:rPr>
          <w:rFonts w:ascii="Tahoma" w:eastAsia="Times New Roman" w:hAnsi="Tahoma" w:cs="Tahoma"/>
          <w:sz w:val="18"/>
          <w:szCs w:val="18"/>
          <w:lang w:eastAsia="ru-RU"/>
        </w:rPr>
        <w:t> Закона Республики Таджикистан "Об акционерных обществах" и </w:t>
      </w:r>
      <w:hyperlink r:id="rId8" w:anchor="A000000034" w:tooltip="Ссылка на Закон РТ О нормативных правовых актах :: Статья 57. Порядок признания утратившим силу и приостановления действия нормативного правового акта" w:history="1">
        <w:r w:rsidRPr="00D826DD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статьей 57</w:t>
        </w:r>
      </w:hyperlink>
      <w:r w:rsidRPr="00D826DD">
        <w:rPr>
          <w:rFonts w:ascii="Tahoma" w:eastAsia="Times New Roman" w:hAnsi="Tahoma" w:cs="Tahoma"/>
          <w:sz w:val="18"/>
          <w:szCs w:val="18"/>
          <w:lang w:eastAsia="ru-RU"/>
        </w:rPr>
        <w:t> Закона Республики Таджикистан "О нормативных правовых актах" Правительство Республики Таджикистан п о с т а н о в л я е т:</w:t>
      </w:r>
    </w:p>
    <w:p w14:paraId="31409B59" w14:textId="77777777" w:rsidR="00D826DD" w:rsidRPr="00D826DD" w:rsidRDefault="00D826DD" w:rsidP="00D826DD">
      <w:pPr>
        <w:spacing w:after="225"/>
        <w:rPr>
          <w:rFonts w:ascii="Tahoma" w:eastAsia="Times New Roman" w:hAnsi="Tahoma" w:cs="Tahoma"/>
          <w:sz w:val="18"/>
          <w:szCs w:val="18"/>
          <w:lang w:eastAsia="ru-RU"/>
        </w:rPr>
      </w:pPr>
      <w:r w:rsidRPr="00D826DD">
        <w:rPr>
          <w:rFonts w:ascii="Tahoma" w:eastAsia="Times New Roman" w:hAnsi="Tahoma" w:cs="Tahoma"/>
          <w:sz w:val="18"/>
          <w:szCs w:val="18"/>
          <w:lang w:eastAsia="ru-RU"/>
        </w:rPr>
        <w:t>1. Переименовать Открытую акционерную холдинговую компанию "Барки Точик" в Открытое акционерное общество "Барки Точик".</w:t>
      </w:r>
    </w:p>
    <w:p w14:paraId="16947103" w14:textId="77777777" w:rsidR="00D826DD" w:rsidRPr="00D826DD" w:rsidRDefault="00D826DD" w:rsidP="00D826DD">
      <w:pPr>
        <w:spacing w:after="225"/>
        <w:rPr>
          <w:rFonts w:ascii="Tahoma" w:eastAsia="Times New Roman" w:hAnsi="Tahoma" w:cs="Tahoma"/>
          <w:sz w:val="18"/>
          <w:szCs w:val="18"/>
          <w:lang w:eastAsia="ru-RU"/>
        </w:rPr>
      </w:pPr>
      <w:r w:rsidRPr="00D826DD">
        <w:rPr>
          <w:rFonts w:ascii="Tahoma" w:eastAsia="Times New Roman" w:hAnsi="Tahoma" w:cs="Tahoma"/>
          <w:sz w:val="18"/>
          <w:szCs w:val="18"/>
          <w:lang w:eastAsia="ru-RU"/>
        </w:rPr>
        <w:t>2. Утвердить устав Открытого акционерного общества "Барки Точик (</w:t>
      </w:r>
      <w:hyperlink r:id="rId9" w:tooltip="Ссылка на Устав Открытого акционерного общества Барки Точик" w:history="1">
        <w:r w:rsidRPr="00D826DD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приложение 1</w:t>
        </w:r>
      </w:hyperlink>
      <w:r w:rsidRPr="00D826DD">
        <w:rPr>
          <w:rFonts w:ascii="Tahoma" w:eastAsia="Times New Roman" w:hAnsi="Tahoma" w:cs="Tahoma"/>
          <w:sz w:val="18"/>
          <w:szCs w:val="18"/>
          <w:lang w:eastAsia="ru-RU"/>
        </w:rPr>
        <w:t>).</w:t>
      </w:r>
    </w:p>
    <w:p w14:paraId="57C04519" w14:textId="77777777" w:rsidR="00D826DD" w:rsidRPr="00D826DD" w:rsidRDefault="00D826DD" w:rsidP="00D826DD">
      <w:pPr>
        <w:spacing w:after="225"/>
        <w:rPr>
          <w:rFonts w:ascii="Tahoma" w:eastAsia="Times New Roman" w:hAnsi="Tahoma" w:cs="Tahoma"/>
          <w:sz w:val="18"/>
          <w:szCs w:val="18"/>
          <w:lang w:eastAsia="ru-RU"/>
        </w:rPr>
      </w:pPr>
      <w:r w:rsidRPr="00D826DD">
        <w:rPr>
          <w:rFonts w:ascii="Tahoma" w:eastAsia="Times New Roman" w:hAnsi="Tahoma" w:cs="Tahoma"/>
          <w:sz w:val="18"/>
          <w:szCs w:val="18"/>
          <w:lang w:eastAsia="ru-RU"/>
        </w:rPr>
        <w:t>3. Создать наблюдательный совет Открытого акционерного общества "Барки Точик" и утвердить его положение и состав (</w:t>
      </w:r>
      <w:hyperlink r:id="rId10" w:tooltip="Ссылка на Положение о наблюдательном совете Открытого акционерного общества Барки Точик" w:history="1">
        <w:r w:rsidRPr="00D826DD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приложения 2 и 3</w:t>
        </w:r>
      </w:hyperlink>
      <w:r w:rsidRPr="00D826DD">
        <w:rPr>
          <w:rFonts w:ascii="Tahoma" w:eastAsia="Times New Roman" w:hAnsi="Tahoma" w:cs="Tahoma"/>
          <w:sz w:val="18"/>
          <w:szCs w:val="18"/>
          <w:lang w:eastAsia="ru-RU"/>
        </w:rPr>
        <w:t>).</w:t>
      </w:r>
    </w:p>
    <w:p w14:paraId="0627B517" w14:textId="77777777" w:rsidR="00D826DD" w:rsidRPr="00D826DD" w:rsidRDefault="00D826DD" w:rsidP="00D826DD">
      <w:pPr>
        <w:spacing w:after="225"/>
        <w:rPr>
          <w:rFonts w:ascii="Tahoma" w:eastAsia="Times New Roman" w:hAnsi="Tahoma" w:cs="Tahoma"/>
          <w:sz w:val="18"/>
          <w:szCs w:val="18"/>
          <w:lang w:eastAsia="ru-RU"/>
        </w:rPr>
      </w:pPr>
      <w:r w:rsidRPr="00D826DD">
        <w:rPr>
          <w:rFonts w:ascii="Tahoma" w:eastAsia="Times New Roman" w:hAnsi="Tahoma" w:cs="Tahoma"/>
          <w:sz w:val="18"/>
          <w:szCs w:val="18"/>
          <w:lang w:eastAsia="ru-RU"/>
        </w:rPr>
        <w:t>4. Признать утратившим силу постановление Правительства Республики Таджикистан от 31 октября 2008 года, </w:t>
      </w:r>
      <w:hyperlink r:id="rId11" w:tooltip="Ссылка на Пост. Правительства РТ Вопросы ОА холдинговой компании Барки Точик" w:history="1">
        <w:r w:rsidRPr="00D826DD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№537</w:t>
        </w:r>
      </w:hyperlink>
      <w:r w:rsidRPr="00D826DD">
        <w:rPr>
          <w:rFonts w:ascii="Tahoma" w:eastAsia="Times New Roman" w:hAnsi="Tahoma" w:cs="Tahoma"/>
          <w:sz w:val="18"/>
          <w:szCs w:val="18"/>
          <w:lang w:eastAsia="ru-RU"/>
        </w:rPr>
        <w:t> "Вопросы Открытой акционерной холдинговой компании "Барки Точик".</w:t>
      </w:r>
    </w:p>
    <w:p w14:paraId="3C5AE123" w14:textId="77777777" w:rsidR="00D826DD" w:rsidRPr="00D826DD" w:rsidRDefault="00D826DD" w:rsidP="00D826DD">
      <w:pPr>
        <w:spacing w:after="225"/>
        <w:rPr>
          <w:rFonts w:ascii="Tahoma" w:eastAsia="Times New Roman" w:hAnsi="Tahoma" w:cs="Tahoma"/>
          <w:sz w:val="18"/>
          <w:szCs w:val="18"/>
          <w:lang w:eastAsia="ru-RU"/>
        </w:rPr>
      </w:pPr>
      <w:r w:rsidRPr="00D826DD">
        <w:rPr>
          <w:rFonts w:ascii="Tahoma" w:eastAsia="Times New Roman" w:hAnsi="Tahoma" w:cs="Tahoma"/>
          <w:sz w:val="18"/>
          <w:szCs w:val="18"/>
          <w:lang w:eastAsia="ru-RU"/>
        </w:rPr>
        <w:t>5. Министерству энергетики и водных ресурсов Республики Таджикистан и Открытому акционерному обществу "Барки Точик" в трехмесячный срок представить предложения Правительству Республики Таджикистан о приведении соответствующих нормативных правовых актов в соответствие с настоящим постановлением.</w:t>
      </w:r>
    </w:p>
    <w:p w14:paraId="057BD4E2" w14:textId="77777777" w:rsidR="00D826DD" w:rsidRPr="00D826DD" w:rsidRDefault="00D826DD" w:rsidP="00D826DD">
      <w:pPr>
        <w:spacing w:after="225"/>
        <w:rPr>
          <w:rFonts w:ascii="Tahoma" w:eastAsia="Times New Roman" w:hAnsi="Tahoma" w:cs="Tahoma"/>
          <w:sz w:val="18"/>
          <w:szCs w:val="18"/>
          <w:lang w:eastAsia="ru-RU"/>
        </w:rPr>
      </w:pPr>
      <w:r w:rsidRPr="00D826DD">
        <w:rPr>
          <w:rFonts w:ascii="Tahoma" w:eastAsia="Times New Roman" w:hAnsi="Tahoma" w:cs="Tahoma"/>
          <w:sz w:val="18"/>
          <w:szCs w:val="18"/>
          <w:lang w:eastAsia="ru-RU"/>
        </w:rPr>
        <w:t>Председатель</w:t>
      </w:r>
    </w:p>
    <w:p w14:paraId="7AA29B6B" w14:textId="77777777" w:rsidR="00D826DD" w:rsidRPr="00D826DD" w:rsidRDefault="00D826DD" w:rsidP="00D826DD">
      <w:pPr>
        <w:spacing w:after="225"/>
        <w:rPr>
          <w:rFonts w:ascii="Tahoma" w:eastAsia="Times New Roman" w:hAnsi="Tahoma" w:cs="Tahoma"/>
          <w:sz w:val="18"/>
          <w:szCs w:val="18"/>
          <w:lang w:eastAsia="ru-RU"/>
        </w:rPr>
      </w:pPr>
      <w:r w:rsidRPr="00D826DD">
        <w:rPr>
          <w:rFonts w:ascii="Tahoma" w:eastAsia="Times New Roman" w:hAnsi="Tahoma" w:cs="Tahoma"/>
          <w:sz w:val="18"/>
          <w:szCs w:val="18"/>
          <w:lang w:eastAsia="ru-RU"/>
        </w:rPr>
        <w:t>Правительства Республики Таджикистан Эмомали Рахмон</w:t>
      </w:r>
    </w:p>
    <w:p w14:paraId="4B31565A" w14:textId="77777777" w:rsidR="00D826DD" w:rsidRPr="00D826DD" w:rsidRDefault="00D826DD" w:rsidP="00D826DD">
      <w:pPr>
        <w:spacing w:after="225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D826DD">
        <w:rPr>
          <w:rFonts w:ascii="Tahoma" w:eastAsia="Times New Roman" w:hAnsi="Tahoma" w:cs="Tahoma"/>
          <w:sz w:val="18"/>
          <w:szCs w:val="18"/>
          <w:lang w:eastAsia="ru-RU"/>
        </w:rPr>
        <w:t>г.Душанбе</w:t>
      </w:r>
      <w:proofErr w:type="spellEnd"/>
      <w:r w:rsidRPr="00D826DD">
        <w:rPr>
          <w:rFonts w:ascii="Tahoma" w:eastAsia="Times New Roman" w:hAnsi="Tahoma" w:cs="Tahoma"/>
          <w:sz w:val="18"/>
          <w:szCs w:val="18"/>
          <w:lang w:eastAsia="ru-RU"/>
        </w:rPr>
        <w:t>,</w:t>
      </w:r>
    </w:p>
    <w:p w14:paraId="3ECA858D" w14:textId="77777777" w:rsidR="00D826DD" w:rsidRPr="00D826DD" w:rsidRDefault="00D826DD" w:rsidP="00D826DD">
      <w:pPr>
        <w:spacing w:after="225"/>
        <w:rPr>
          <w:rFonts w:ascii="Tahoma" w:eastAsia="Times New Roman" w:hAnsi="Tahoma" w:cs="Tahoma"/>
          <w:sz w:val="18"/>
          <w:szCs w:val="18"/>
          <w:lang w:eastAsia="ru-RU"/>
        </w:rPr>
      </w:pPr>
      <w:r w:rsidRPr="00D826DD">
        <w:rPr>
          <w:rFonts w:ascii="Tahoma" w:eastAsia="Times New Roman" w:hAnsi="Tahoma" w:cs="Tahoma"/>
          <w:sz w:val="18"/>
          <w:szCs w:val="18"/>
          <w:lang w:eastAsia="ru-RU"/>
        </w:rPr>
        <w:t>от 18 января 2023 года №18</w:t>
      </w:r>
    </w:p>
    <w:p w14:paraId="52137F79" w14:textId="77777777" w:rsidR="00F12C76" w:rsidRDefault="00F12C76" w:rsidP="006C0B77">
      <w:pPr>
        <w:spacing w:after="0"/>
        <w:ind w:firstLine="709"/>
        <w:jc w:val="both"/>
      </w:pPr>
    </w:p>
    <w:sectPr w:rsidR="00F12C76" w:rsidSect="001D5D4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D"/>
    <w:rsid w:val="001D5D48"/>
    <w:rsid w:val="006C0B77"/>
    <w:rsid w:val="008242FF"/>
    <w:rsid w:val="00870751"/>
    <w:rsid w:val="00922C48"/>
    <w:rsid w:val="00B915B7"/>
    <w:rsid w:val="00D826D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188"/>
  <w15:chartTrackingRefBased/>
  <w15:docId w15:val="{FB3B3DEB-ED5B-4A4B-92B1-E206BAEA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Tj" w:eastAsiaTheme="minorHAnsi" w:hAnsi="Times New Roman Tj" w:cs="Open Sans"/>
        <w:color w:val="000000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</w:style>
  <w:style w:type="paragraph" w:styleId="1">
    <w:name w:val="heading 1"/>
    <w:basedOn w:val="a"/>
    <w:link w:val="10"/>
    <w:uiPriority w:val="9"/>
    <w:qFormat/>
    <w:rsid w:val="00D82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26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6DD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6DD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26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93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vfp://rgn=1106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rgn=11065" TargetMode="External"/><Relationship Id="rId11" Type="http://schemas.openxmlformats.org/officeDocument/2006/relationships/hyperlink" Target="vfp://rgn=14117" TargetMode="External"/><Relationship Id="rId5" Type="http://schemas.openxmlformats.org/officeDocument/2006/relationships/hyperlink" Target="vfp://rgn=792" TargetMode="External"/><Relationship Id="rId10" Type="http://schemas.openxmlformats.org/officeDocument/2006/relationships/hyperlink" Target="vfp://rgn=144388" TargetMode="External"/><Relationship Id="rId4" Type="http://schemas.openxmlformats.org/officeDocument/2006/relationships/hyperlink" Target="vfp://rgn=792" TargetMode="External"/><Relationship Id="rId9" Type="http://schemas.openxmlformats.org/officeDocument/2006/relationships/hyperlink" Target="vfp://rgn=144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2024-04-16T10:48:00Z</dcterms:created>
  <dcterms:modified xsi:type="dcterms:W3CDTF">2024-04-16T10:58:00Z</dcterms:modified>
</cp:coreProperties>
</file>